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1AD77B8B" w:rsidR="00830EBC" w:rsidRPr="00B535FE" w:rsidRDefault="00830EBC" w:rsidP="006E3D16">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rPr>
      </w:pPr>
      <w:r>
        <w:rPr>
          <w:i/>
          <w:bdr w:val="none" w:sz="0" w:space="0" w:color="auto"/>
        </w:rPr>
        <w:t>Comunicado de prensa n.º 1/2022</w:t>
      </w:r>
    </w:p>
    <w:p w14:paraId="087FA726" w14:textId="77777777" w:rsidR="00830EBC" w:rsidRPr="00B535FE" w:rsidRDefault="00830EBC" w:rsidP="006E3D16">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p>
    <w:p w14:paraId="67027316" w14:textId="341503C8" w:rsidR="006E3D16" w:rsidRDefault="006E3D16" w:rsidP="006E3D16">
      <w:pPr>
        <w:ind w:left="-142"/>
        <w:jc w:val="both"/>
        <w:rPr>
          <w:rFonts w:cs="Times New Roman"/>
          <w:b/>
          <w:bCs/>
          <w:sz w:val="28"/>
          <w:szCs w:val="28"/>
        </w:rPr>
      </w:pPr>
      <w:r>
        <w:rPr>
          <w:b/>
          <w:sz w:val="28"/>
        </w:rPr>
        <w:t>EIMA 2022, una experiencia global</w:t>
      </w:r>
    </w:p>
    <w:p w14:paraId="253ED172" w14:textId="77777777" w:rsidR="006E3D16" w:rsidRPr="002111D6" w:rsidRDefault="006E3D16" w:rsidP="006E3D16">
      <w:pPr>
        <w:ind w:left="-142"/>
        <w:jc w:val="both"/>
        <w:rPr>
          <w:rFonts w:cs="Times New Roman"/>
          <w:b/>
          <w:bCs/>
          <w:sz w:val="28"/>
          <w:szCs w:val="28"/>
        </w:rPr>
      </w:pPr>
    </w:p>
    <w:p w14:paraId="6405F200" w14:textId="5B55EF24" w:rsidR="006E3D16" w:rsidRDefault="006E3D16" w:rsidP="006E3D16">
      <w:pPr>
        <w:ind w:left="-142"/>
        <w:jc w:val="both"/>
        <w:rPr>
          <w:rFonts w:cs="Times New Roman"/>
          <w:b/>
          <w:bCs/>
          <w:i/>
          <w:iCs/>
        </w:rPr>
      </w:pPr>
      <w:r>
        <w:rPr>
          <w:b/>
          <w:i/>
        </w:rPr>
        <w:t>Presentada en Verona la 45.ª edición de la feria internacional de mecánica agrícola. Respuesta muy positiva en cuanto a reservas y demanda de superficie expositiva. Muy intensa la actividad de promoción en el extranjero y numerosas novedades, desde las áreas de divulgación de las tecnologías digitales hasta las pruebas in situ de las máquinas de jardinería. Innovación siempre en primer plano con una jornada previa al EIMA completamente dedicada a la presentación y a la entrega de premios del concurso Novedades Técnicas.</w:t>
      </w:r>
    </w:p>
    <w:p w14:paraId="7112DDAF" w14:textId="77777777" w:rsidR="006E3D16" w:rsidRPr="002111D6" w:rsidRDefault="006E3D16" w:rsidP="006E3D16">
      <w:pPr>
        <w:ind w:left="-142"/>
        <w:jc w:val="both"/>
        <w:rPr>
          <w:rFonts w:cs="Times New Roman"/>
          <w:b/>
          <w:bCs/>
          <w:i/>
          <w:iCs/>
        </w:rPr>
      </w:pPr>
    </w:p>
    <w:p w14:paraId="2DC42789" w14:textId="27A0CCD6" w:rsidR="00170683" w:rsidRDefault="006E3D16" w:rsidP="00C426E1">
      <w:pPr>
        <w:ind w:left="-142"/>
        <w:jc w:val="both"/>
      </w:pPr>
      <w:r>
        <w:t>Tras el éxito de la edición de 2021, EIMA International vuelve de nuevo para la edición de 2022, que se celebrará en Bolonia del 9 al 13 de noviembre. La</w:t>
      </w:r>
      <w:r w:rsidR="00797019">
        <w:t> </w:t>
      </w:r>
      <w:r>
        <w:t>edición de este año, la 45</w:t>
      </w:r>
      <w:proofErr w:type="gramStart"/>
      <w:r>
        <w:t>.ª</w:t>
      </w:r>
      <w:proofErr w:type="gramEnd"/>
      <w:r>
        <w:t xml:space="preserve"> en la historia de la feria internacional de mecánica agrícola, tendrá lugar en sus fechas habituales, en el mes de noviembre de los años pares, con lo cual se reanudará la periodicidad bienal, que continuará con la edición de 2024.</w:t>
      </w:r>
    </w:p>
    <w:p w14:paraId="30DCBB70" w14:textId="2DE68B0B" w:rsidR="00170683" w:rsidRDefault="006E3D16" w:rsidP="00C426E1">
      <w:pPr>
        <w:ind w:left="-142"/>
        <w:jc w:val="both"/>
      </w:pPr>
      <w:r>
        <w:t>Grandes expectativas para este evento, que ha sido presentado esta tarde en la Fieragricola de Verona por FederUnacoma, la asociación de fabricantes de máquinas agrícolas, organizadora directa de esta feria que está entre las primer</w:t>
      </w:r>
      <w:r w:rsidR="00170683">
        <w:t>a</w:t>
      </w:r>
      <w:r>
        <w:t>s del mundo por número de expositores, número de visitantes, nivel de internacionalidad y calidad de las tecnologías expuestas. Hasta la fecha, 835</w:t>
      </w:r>
      <w:r w:rsidR="00170683">
        <w:t> </w:t>
      </w:r>
      <w:r>
        <w:t>fabricantes ya han formalizado su solicitud de participación (585 italian</w:t>
      </w:r>
      <w:r w:rsidR="00797019">
        <w:t>o</w:t>
      </w:r>
      <w:r>
        <w:t>s y 250 extranjer</w:t>
      </w:r>
      <w:r w:rsidR="00797019">
        <w:t>o</w:t>
      </w:r>
      <w:r>
        <w:t>s), con una demanda de superficie expositiva que ya alcanza los 80.000 metros cuadrados. Unas buenas cifras iniciales –ha explicado la directora general de FederUnacoma, Simona Rapastella, durante la rueda de prensa- que permiten suponer que el número final de expositores y la superficie expositiva serán similares a los registrados en las ediciones de EIMA anteriores a la pandemia.</w:t>
      </w:r>
    </w:p>
    <w:p w14:paraId="3E7B9565" w14:textId="55D72B91" w:rsidR="00170683" w:rsidRDefault="006E3D16" w:rsidP="00C426E1">
      <w:pPr>
        <w:ind w:left="-142"/>
        <w:jc w:val="both"/>
      </w:pPr>
      <w:r>
        <w:t xml:space="preserve">“Nunca como en estos últimos años, condicionados por la situación sanitaria y las limitaciones impuestas a los eventos públicos –ha recordado Rapastella– el sector ferial se ha cuestionado sobre su futuro y sobre la posibilidad de que los expositores y los visitantes tengan nuevas necesidades y expectativas, y por ello hemos sometido EIMA a una monitorización exhaustiva con el objetivo de determinar sus puntos fuertes y débiles”. Los datos de esta monitorización por parte de FederUnacoma, combinados con los de empresas especializadas, como GRS, o de organismos oficiales, como la Unión de Ferias Internacionales (UFI), confirman una tendencia a reducir la participación en las ferias en beneficio de unos pocos certámenes con fuerte carácter internacional y que actúan de catalizador del sector. Las encuestas sobre el terreno también confirman una expectativa creciente por lo que se refiere al nivel de servicios, sobre todo para los operadores que ven la feria como un lugar específico para hacer negocios. “Son ya elementos característicos de EIMA Internacional –ha señalado Rapastella– que hemos intentado reforzar con un rico calendario de encuentros 'business-to-business' para las delegaciones extranjeras, organizado en colaboración con la Agencia Italiana para el Comercio Exterior (ICE), mediante el programa de 'incoming' denominado 'Special Guest' que prevé facilidades y beneficios para los operadores económicos extranjeros, y con una iniciativa especial que involucra a la red diplomática”. </w:t>
      </w:r>
    </w:p>
    <w:p w14:paraId="3AAF450C" w14:textId="77777777" w:rsidR="00170683" w:rsidRDefault="00170683">
      <w:r>
        <w:br w:type="page"/>
      </w:r>
    </w:p>
    <w:p w14:paraId="2BD99934" w14:textId="77777777" w:rsidR="00C426E1" w:rsidRDefault="00C426E1" w:rsidP="00C426E1">
      <w:pPr>
        <w:ind w:left="-142"/>
        <w:jc w:val="both"/>
        <w:rPr>
          <w:rFonts w:cs="Times New Roman"/>
        </w:rPr>
      </w:pPr>
    </w:p>
    <w:p w14:paraId="10CB7274" w14:textId="6DB932B8" w:rsidR="00C426E1" w:rsidRDefault="006E3D16" w:rsidP="00C426E1">
      <w:pPr>
        <w:ind w:left="-142"/>
        <w:jc w:val="both"/>
        <w:rPr>
          <w:rFonts w:cs="Times New Roman"/>
        </w:rPr>
      </w:pPr>
      <w:r>
        <w:t xml:space="preserve">Otro punto fuerte de los eventos feriales es la calidad de las novedades tecnológicas presentadas, un aspecto que se reforzará aún más con iniciativas relacionadas con el salón “Digital”, como Percorso 4.0 y EIMA Robot, pero sobre todo con el concurso Novedades Técnicas, que este año se presentará renovado en cuanto a criterios y se potenciará con un evento exclusivo, </w:t>
      </w:r>
      <w:r w:rsidR="00797019">
        <w:t>previo a</w:t>
      </w:r>
      <w:r>
        <w:t xml:space="preserve"> EIMA. De hecho, las novedades técnicas cobrarán un nuevo impulso con un evento previo</w:t>
      </w:r>
      <w:r w:rsidR="00797019">
        <w:t>,</w:t>
      </w:r>
      <w:r>
        <w:t xml:space="preserve"> abierto a toda la prensa nacional e internacional, que se celebrará a finales de septiembre y que contará con explicaciones técnicas detalladas, vídeos y soportes multimedia. </w:t>
      </w:r>
    </w:p>
    <w:p w14:paraId="0565ACB4" w14:textId="77777777" w:rsidR="00170683" w:rsidRDefault="006E3D16" w:rsidP="00C426E1">
      <w:pPr>
        <w:ind w:left="-142"/>
        <w:jc w:val="both"/>
      </w:pPr>
      <w:r>
        <w:t>Siempre para valorizar y divulgar las innovaciones, se ha confirmado el área de exposición exterior para tractores, donde será posible ver cómo funcionan las tecnologías más innovadoras. Pero el área de los tractores no será la única área de exhibición de esta edición –se ha explicado durante la conferencia–, porque junto a la exhibición dinámica de máquinas del sector de la bioenergía se ha previsto la nueva iniciativa “jardín”, que permitirá ver cómo trabajan los equipos y las máquinas para el cuidado de jardines y de espacios verdes, dirigida tanto a los profesionales del mantenimiento como al público aficionado.</w:t>
      </w:r>
    </w:p>
    <w:p w14:paraId="38A2447C" w14:textId="77777777" w:rsidR="00170683" w:rsidRDefault="006E3D16" w:rsidP="00C426E1">
      <w:pPr>
        <w:ind w:left="-142"/>
        <w:jc w:val="both"/>
      </w:pPr>
      <w:r>
        <w:t>El área “Campus”, reservada a las universidades y los organismos de investigación, se prevé aún más rica que en el pasado, mientras que se anuncia un completo programa de congresos, dedicado especialmente a temas de actualidad, como la transición ecológica y digital, la economía verde, la seguridad y la prevención de riesgos geológicos.</w:t>
      </w:r>
    </w:p>
    <w:p w14:paraId="5BEA8387" w14:textId="77777777" w:rsidR="00170683" w:rsidRDefault="006E3D16" w:rsidP="00C426E1">
      <w:pPr>
        <w:ind w:left="-142"/>
        <w:jc w:val="both"/>
      </w:pPr>
      <w:r>
        <w:t>El recinto ferial de Bolonia se renovará en cuanto a señalización y servicios, y los pabellones reservados a los salones especializados (Componentes, Digital, Green, Energía e Idrotech) se caracterizarán con elementos escenográficos que remitirán a las diferentes categorías de productos.</w:t>
      </w:r>
    </w:p>
    <w:p w14:paraId="5321D020" w14:textId="2269FBE6" w:rsidR="006E3D16" w:rsidRPr="00A81BBA" w:rsidRDefault="006E3D16" w:rsidP="00C426E1">
      <w:pPr>
        <w:ind w:left="-142"/>
        <w:jc w:val="both"/>
        <w:rPr>
          <w:rFonts w:cs="Times New Roman"/>
        </w:rPr>
      </w:pPr>
      <w:r>
        <w:t>“Así pues, EIMA 2022 ofrecerá una mirada inédita –ha concluido Rapastella– será un “paisaje” familiar, pero también sorprendente</w:t>
      </w:r>
      <w:r w:rsidR="006873F1">
        <w:t>”</w:t>
      </w:r>
      <w:bookmarkStart w:id="0" w:name="_GoBack"/>
      <w:bookmarkEnd w:id="0"/>
      <w:r>
        <w:t>.</w:t>
      </w:r>
    </w:p>
    <w:p w14:paraId="53C68EEC" w14:textId="0365DF7C" w:rsidR="00E95EA3" w:rsidRDefault="00E95EA3" w:rsidP="006E3D16">
      <w:pPr>
        <w:ind w:left="-142"/>
        <w:jc w:val="both"/>
        <w:rPr>
          <w:rFonts w:cs="Times New Roman"/>
        </w:rPr>
      </w:pPr>
    </w:p>
    <w:p w14:paraId="763B532A" w14:textId="0D551265" w:rsidR="00E95EA3" w:rsidRPr="00E95EA3" w:rsidRDefault="00C37925" w:rsidP="006E3D16">
      <w:pPr>
        <w:ind w:left="-142"/>
        <w:jc w:val="both"/>
        <w:rPr>
          <w:rFonts w:eastAsia="Calibri" w:cs="Times New Roman"/>
          <w:b/>
          <w:bCs/>
        </w:rPr>
      </w:pPr>
      <w:r>
        <w:rPr>
          <w:b/>
        </w:rPr>
        <w:t>Verona, 2 de marzo de 2022</w:t>
      </w:r>
    </w:p>
    <w:sectPr w:rsidR="00E95EA3" w:rsidRPr="00E95EA3"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593CD" w14:textId="77777777" w:rsidR="009D041F" w:rsidRDefault="009D041F">
      <w:r>
        <w:separator/>
      </w:r>
    </w:p>
  </w:endnote>
  <w:endnote w:type="continuationSeparator" w:id="0">
    <w:p w14:paraId="37323FA7" w14:textId="77777777" w:rsidR="009D041F" w:rsidRDefault="009D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54AC" w14:textId="77777777" w:rsidR="009D041F" w:rsidRDefault="009D041F">
      <w:r>
        <w:separator/>
      </w:r>
    </w:p>
  </w:footnote>
  <w:footnote w:type="continuationSeparator" w:id="0">
    <w:p w14:paraId="76CCA388" w14:textId="77777777" w:rsidR="009D041F" w:rsidRDefault="009D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3A1D30F4" w:rsidR="005B51B0" w:rsidRDefault="009D041F">
    <w:pPr>
      <w:pStyle w:val="Encabezado"/>
      <w:tabs>
        <w:tab w:val="clear" w:pos="9638"/>
        <w:tab w:val="right" w:pos="7485"/>
      </w:tabs>
    </w:pPr>
    <w:sdt>
      <w:sdtPr>
        <w:id w:val="-1786807496"/>
        <w:docPartObj>
          <w:docPartGallery w:val="Page Numbers (Margins)"/>
          <w:docPartUnique/>
        </w:docPartObj>
      </w:sdtPr>
      <w:sdtEndPr/>
      <w:sdtContent>
        <w:r w:rsidR="003B02C9">
          <w:rPr>
            <w:noProof/>
            <w:lang w:eastAsia="es-ES"/>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6873F1" w:rsidRPr="006873F1">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6873F1" w:rsidRPr="006873F1">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3B02C9">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3B02C9">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3B02C9">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873F1">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873F1">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displayBackgroundShape/>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70683"/>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02C9"/>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CC8"/>
    <w:rsid w:val="00643058"/>
    <w:rsid w:val="00661945"/>
    <w:rsid w:val="006729A9"/>
    <w:rsid w:val="00677CC8"/>
    <w:rsid w:val="006810E8"/>
    <w:rsid w:val="00682974"/>
    <w:rsid w:val="006873F1"/>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97019"/>
    <w:rsid w:val="007A2D4F"/>
    <w:rsid w:val="007D4764"/>
    <w:rsid w:val="007D72CD"/>
    <w:rsid w:val="007E0B1E"/>
    <w:rsid w:val="007E7D8A"/>
    <w:rsid w:val="00803B1C"/>
    <w:rsid w:val="00804FFA"/>
    <w:rsid w:val="008058D5"/>
    <w:rsid w:val="00805B63"/>
    <w:rsid w:val="00805D78"/>
    <w:rsid w:val="008115B2"/>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C0F34"/>
    <w:rsid w:val="009C2022"/>
    <w:rsid w:val="009D041F"/>
    <w:rsid w:val="009F23FD"/>
    <w:rsid w:val="00A00A57"/>
    <w:rsid w:val="00A20F14"/>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26E1"/>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6B54"/>
    <w:rsid w:val="00F50302"/>
    <w:rsid w:val="00F52270"/>
    <w:rsid w:val="00F7014D"/>
    <w:rsid w:val="00F701F5"/>
    <w:rsid w:val="00F7049E"/>
    <w:rsid w:val="00F73E39"/>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5DA75-6BC2-4D09-A081-E5AB3D0F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836</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4</cp:revision>
  <cp:lastPrinted>2020-11-02T16:06:00Z</cp:lastPrinted>
  <dcterms:created xsi:type="dcterms:W3CDTF">2022-03-08T15:14:00Z</dcterms:created>
  <dcterms:modified xsi:type="dcterms:W3CDTF">2022-03-08T15:19:00Z</dcterms:modified>
</cp:coreProperties>
</file>